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0"/>
        </w:rPr>
        <w:t xml:space="preserve">Родительский контроль дает возможность понять принципы организации школьного питания, убедиться, что за дверью школьной столовой все соответствует нормативам.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sz w:val="20"/>
        </w:rPr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0"/>
        </w:rPr>
        <w:t xml:space="preserve">Что должны и могут оценить родители, приходя в школу на контроль? Рассказываем в карточках.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sz w:val="20"/>
        </w:rPr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0"/>
        </w:rPr>
        <w:t xml:space="preserve">Они подготовлены на основе чек-листа,  разработанного членами Штаба родительского общественного контроля при Министерстве образования и науки Курской области.</w:t>
      </w:r>
      <w:r/>
    </w:p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Медиацентр Министерства образования и науки Курской области</cp:lastModifiedBy>
  <cp:revision>2</cp:revision>
  <dcterms:modified xsi:type="dcterms:W3CDTF">2024-04-17T09:25:58Z</dcterms:modified>
</cp:coreProperties>
</file>